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扎兰屯市人民检察院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办案业务费项目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绩效评价报告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根据《中华人民共和国预算法规定》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</w:rPr>
        <w:t>《中共中央国务院关于全面实施预算绩效管理的意见》（中发[2018]34号）等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文件</w:t>
      </w:r>
      <w:r>
        <w:rPr>
          <w:rFonts w:hint="eastAsia" w:ascii="仿宋_GB2312" w:eastAsia="仿宋_GB2312" w:hAnsiTheme="majorEastAsia"/>
          <w:sz w:val="32"/>
          <w:szCs w:val="32"/>
        </w:rPr>
        <w:t>要求，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扎兰屯市人民检察院检务督察部门</w:t>
      </w:r>
      <w:r>
        <w:rPr>
          <w:rFonts w:hint="eastAsia" w:ascii="仿宋_GB2312" w:eastAsia="仿宋_GB2312" w:hAnsiTheme="majorEastAsia"/>
          <w:sz w:val="32"/>
          <w:szCs w:val="32"/>
        </w:rPr>
        <w:t>对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办案业务费</w:t>
      </w:r>
      <w:r>
        <w:rPr>
          <w:rFonts w:hint="eastAsia" w:ascii="仿宋_GB2312" w:eastAsia="仿宋_GB2312" w:hAnsiTheme="majorEastAsia"/>
          <w:sz w:val="32"/>
          <w:szCs w:val="32"/>
        </w:rPr>
        <w:t>项目开展了绩效评价，有关情况如下：</w:t>
      </w:r>
    </w:p>
    <w:p>
      <w:pPr>
        <w:ind w:firstLine="643" w:firstLineChars="200"/>
        <w:jc w:val="left"/>
        <w:rPr>
          <w:rFonts w:ascii="仿宋_GB2312" w:eastAsia="仿宋_GB2312" w:hAnsiTheme="minorEastAsia"/>
          <w:b/>
          <w:bCs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一、基本情况</w:t>
      </w:r>
    </w:p>
    <w:p>
      <w:pPr>
        <w:ind w:firstLine="640" w:firstLineChars="200"/>
        <w:jc w:val="left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（一）项目概况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/>
        </w:rPr>
        <w:t>扎兰屯市人民检察院</w:t>
      </w:r>
      <w:r>
        <w:rPr>
          <w:rFonts w:hint="default" w:ascii="仿宋_GB2312" w:hAnsi="宋体" w:eastAsia="仿宋_GB2312" w:cs="仿宋_GB2312"/>
          <w:color w:val="auto"/>
          <w:kern w:val="0"/>
          <w:sz w:val="32"/>
          <w:szCs w:val="32"/>
        </w:rPr>
        <w:t>办案业务费项目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全年预算数为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273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万元，执行数为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273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万元，完成预算的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default" w:ascii="仿宋_GB2312" w:eastAsia="仿宋_GB2312" w:cs="仿宋_GB2312"/>
          <w:color w:val="auto"/>
          <w:sz w:val="32"/>
          <w:szCs w:val="32"/>
          <w:lang w:val="en-US"/>
        </w:rPr>
        <w:t>%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年度总体目标是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满足刑事检察一部、二部办案需要，实现捕诉一体化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满足刑事执行检察部门看守所检察、羁押必要性审查、刑事活动检察、社区矫正检察办案需要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满足民事行政检察对法院民事行政案件从立案、审理、裁判到执行进行全程监督的办案需要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满足公益诉讼部门办理公益诉讼案件需要，惩治环境污染、侵害公共利益犯罪，加大环境保护力度，维护合法权益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满足案件管理中心案件接收、移送业务需要。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项目主要内容为</w:t>
      </w:r>
      <w:r>
        <w:rPr>
          <w:rFonts w:hint="eastAsia" w:ascii="仿宋_GB2312" w:hAnsi="仿宋" w:eastAsia="仿宋_GB2312"/>
          <w:sz w:val="32"/>
          <w:szCs w:val="32"/>
        </w:rPr>
        <w:t>商品和服务支出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包括办案</w:t>
      </w:r>
      <w:r>
        <w:rPr>
          <w:rFonts w:hint="eastAsia" w:ascii="仿宋_GB2312" w:hAnsi="仿宋" w:eastAsia="仿宋_GB2312"/>
          <w:sz w:val="32"/>
          <w:szCs w:val="32"/>
        </w:rPr>
        <w:t>办公费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印刷费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邮电费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差旅费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培训费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劳务费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公车运行维护费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" w:eastAsia="仿宋_GB2312"/>
          <w:sz w:val="32"/>
          <w:szCs w:val="32"/>
        </w:rPr>
        <w:t>，以上是为保障单位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干警</w:t>
      </w:r>
      <w:r>
        <w:rPr>
          <w:rFonts w:hint="eastAsia" w:ascii="仿宋_GB2312" w:hAnsi="仿宋" w:eastAsia="仿宋_GB2312"/>
          <w:sz w:val="32"/>
          <w:szCs w:val="32"/>
        </w:rPr>
        <w:t>办案的经费支出。</w:t>
      </w:r>
    </w:p>
    <w:p>
      <w:pPr>
        <w:ind w:firstLine="640" w:firstLineChars="20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（二）项目绩效目标</w:t>
      </w:r>
    </w:p>
    <w:p>
      <w:pPr>
        <w:ind w:firstLine="640" w:firstLineChars="20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default" w:ascii="仿宋_GB2312" w:hAnsi="宋体" w:eastAsia="仿宋_GB2312" w:cs="仿宋_GB2312"/>
          <w:color w:val="auto"/>
          <w:kern w:val="0"/>
          <w:sz w:val="32"/>
          <w:szCs w:val="32"/>
        </w:rPr>
        <w:t>2020年受理案件1172余件，办案时效为受案后7日内审结，平均办案支出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≦</w:t>
      </w:r>
      <w:r>
        <w:rPr>
          <w:rFonts w:hint="default" w:ascii="仿宋_GB2312" w:hAnsi="宋体" w:eastAsia="仿宋_GB2312" w:cs="仿宋_GB2312"/>
          <w:color w:val="auto"/>
          <w:kern w:val="0"/>
          <w:sz w:val="32"/>
          <w:szCs w:val="32"/>
        </w:rPr>
        <w:t>0.4万元，审结率达到90%，追缴犯罪所得47.21万元，案件办理的可持续影响≥80%，办案产生的社会效益≥80%，办案产生的生态效益≥30%，案件达到审理数量不减、质量不减，保障干警办案经费，满意度达到96%以上，达到年初目标要求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（二）项目绩效目标</w:t>
      </w:r>
    </w:p>
    <w:p>
      <w:pPr>
        <w:ind w:firstLine="640" w:firstLineChars="20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default" w:ascii="仿宋_GB2312" w:hAnsi="宋体" w:eastAsia="仿宋_GB2312" w:cs="仿宋_GB2312"/>
          <w:color w:val="auto"/>
          <w:kern w:val="0"/>
          <w:sz w:val="32"/>
          <w:szCs w:val="32"/>
        </w:rPr>
        <w:t>2020年受理案件≥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/>
        </w:rPr>
        <w:t>800</w:t>
      </w:r>
      <w:r>
        <w:rPr>
          <w:rFonts w:hint="default" w:ascii="仿宋_GB2312" w:hAnsi="宋体" w:eastAsia="仿宋_GB2312" w:cs="仿宋_GB2312"/>
          <w:color w:val="auto"/>
          <w:kern w:val="0"/>
          <w:sz w:val="32"/>
          <w:szCs w:val="32"/>
        </w:rPr>
        <w:t>件，办案时效为受案后7日内审结，平均办案支出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≦</w:t>
      </w:r>
      <w:r>
        <w:rPr>
          <w:rFonts w:hint="default" w:ascii="仿宋_GB2312" w:hAnsi="宋体" w:eastAsia="仿宋_GB2312" w:cs="仿宋_GB2312"/>
          <w:color w:val="auto"/>
          <w:kern w:val="0"/>
          <w:sz w:val="32"/>
          <w:szCs w:val="32"/>
        </w:rPr>
        <w:t>0.4万元，审结率达到90%，追缴犯罪所得≥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/>
        </w:rPr>
        <w:t>30</w:t>
      </w:r>
      <w:r>
        <w:rPr>
          <w:rFonts w:hint="default" w:ascii="仿宋_GB2312" w:hAnsi="宋体" w:eastAsia="仿宋_GB2312" w:cs="仿宋_GB2312"/>
          <w:color w:val="auto"/>
          <w:kern w:val="0"/>
          <w:sz w:val="32"/>
          <w:szCs w:val="32"/>
        </w:rPr>
        <w:t>万元，案件办理的可持续影响≥80%，办案产生的社会效益≥80%，办案产生的生态效益≥30%，案件达到审理数量不减、质量不减，保障干警办案经费，满意度达到96%以上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。</w:t>
      </w:r>
    </w:p>
    <w:p>
      <w:pPr>
        <w:ind w:firstLine="643" w:firstLineChars="200"/>
        <w:jc w:val="left"/>
        <w:rPr>
          <w:rFonts w:ascii="仿宋_GB2312" w:eastAsia="仿宋_GB2312" w:hAnsiTheme="minorEastAsia"/>
          <w:b/>
          <w:bCs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二、绩效评价工作开展情况</w:t>
      </w:r>
    </w:p>
    <w:p>
      <w:pPr>
        <w:ind w:firstLine="640" w:firstLineChars="20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（一）绩效评价目的、对象和范围</w:t>
      </w:r>
    </w:p>
    <w:p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  项目</w:t>
      </w:r>
      <w:r>
        <w:rPr>
          <w:rFonts w:hint="eastAsia" w:ascii="仿宋_GB2312" w:eastAsia="仿宋_GB2312" w:hAnsiTheme="minorEastAsia"/>
          <w:sz w:val="32"/>
          <w:szCs w:val="32"/>
        </w:rPr>
        <w:t>绩效评价工作的开展，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通过</w:t>
      </w:r>
      <w:r>
        <w:rPr>
          <w:rFonts w:hint="eastAsia" w:ascii="仿宋_GB2312" w:eastAsia="仿宋_GB2312" w:hAnsiTheme="minorEastAsia"/>
          <w:sz w:val="32"/>
          <w:szCs w:val="32"/>
        </w:rPr>
        <w:t>全面了解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办案业务费</w:t>
      </w:r>
      <w:r>
        <w:rPr>
          <w:rFonts w:hint="eastAsia" w:ascii="仿宋_GB2312" w:eastAsia="仿宋_GB2312" w:hAnsiTheme="minorEastAsia"/>
          <w:sz w:val="32"/>
          <w:szCs w:val="32"/>
        </w:rPr>
        <w:t>项目的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开支范围、</w:t>
      </w:r>
      <w:r>
        <w:rPr>
          <w:rFonts w:hint="eastAsia" w:ascii="仿宋_GB2312" w:eastAsia="仿宋_GB2312" w:hAnsiTheme="minorEastAsia"/>
          <w:sz w:val="32"/>
          <w:szCs w:val="32"/>
        </w:rPr>
        <w:t>业务管理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水平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inorEastAsia"/>
          <w:sz w:val="32"/>
          <w:szCs w:val="32"/>
        </w:rPr>
        <w:t>资金使用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安全</w:t>
      </w:r>
      <w:r>
        <w:rPr>
          <w:rFonts w:hint="eastAsia" w:ascii="仿宋_GB2312" w:eastAsia="仿宋_GB2312" w:hAnsiTheme="minorEastAsia"/>
          <w:sz w:val="32"/>
          <w:szCs w:val="32"/>
        </w:rPr>
        <w:t>以及目标任务完成情况，对项目实施成效进行综合评价，总结经验、发现问题，并对针对性的提出建议，为科学安排项目资金提供参考，规范财政资金使用，提高财政资金效益。</w:t>
      </w:r>
    </w:p>
    <w:p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32"/>
          <w:szCs w:val="32"/>
        </w:rPr>
        <w:t>本次绩效评价的对象为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办案业务费</w:t>
      </w:r>
      <w:r>
        <w:rPr>
          <w:rFonts w:hint="eastAsia" w:ascii="仿宋_GB2312" w:eastAsia="仿宋_GB2312" w:hAnsiTheme="minorEastAsia"/>
          <w:sz w:val="32"/>
          <w:szCs w:val="32"/>
        </w:rPr>
        <w:t>项目，评价范围为该项目所有预算资金，共计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273</w:t>
      </w:r>
      <w:r>
        <w:rPr>
          <w:rFonts w:hint="eastAsia" w:ascii="仿宋_GB2312" w:eastAsia="仿宋_GB2312" w:hAnsiTheme="minorEastAsia"/>
          <w:sz w:val="32"/>
          <w:szCs w:val="32"/>
        </w:rPr>
        <w:t>万元。</w:t>
      </w:r>
    </w:p>
    <w:p>
      <w:pPr>
        <w:ind w:firstLine="640" w:firstLineChars="20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（二）绩效评价原则、评价指标体系、评价方法、评价标准等</w:t>
      </w:r>
    </w:p>
    <w:p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32"/>
          <w:szCs w:val="32"/>
        </w:rPr>
        <w:t xml:space="preserve"> 按照科学规范、独立公正、绩效相关、简便有效原则，通过科学合理工作方式和方法，简化工作流程，提高评价效率，坚持定量分析和定性分析相结合，充分运用了比较法、因素分析法等评价方法，结合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办案业务费</w:t>
      </w:r>
      <w:r>
        <w:rPr>
          <w:rFonts w:hint="eastAsia" w:ascii="仿宋_GB2312" w:eastAsia="仿宋_GB2312" w:hAnsiTheme="minorEastAsia"/>
          <w:sz w:val="32"/>
          <w:szCs w:val="32"/>
        </w:rPr>
        <w:t>项目的具体内容，设置评价指标体系及评价标准。</w:t>
      </w:r>
    </w:p>
    <w:p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32"/>
          <w:szCs w:val="32"/>
        </w:rPr>
        <w:t>该项目绩效评价指标体系由4项一级指标、9项二级指标、9项三级指标构成。综合绩效评价总分值为100分，其中项目预算执行情况分值10分，产出指标分值50分，效益指标分值30分，满意度指标分值10分。本次绩效评价综合成绩共分为4个等级，综合得分在90-100分（含90分）为优；综合得分大于等于80分、小于90分为良；综合得分大于等于60分、小于80分为中；综合得分小于60分为差。</w:t>
      </w:r>
    </w:p>
    <w:p>
      <w:pPr>
        <w:ind w:firstLine="640" w:firstLineChars="20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（三）绩效评价工作过程。</w:t>
      </w:r>
    </w:p>
    <w:p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32"/>
          <w:szCs w:val="32"/>
        </w:rPr>
        <w:t>本次评价工作共经历评价准备、评价实施、撰写并报送评价报告三个阶段。其中，准备阶段成立绩效评价工作组，制定工作方案；实施阶段分析提出初步评价意见；撰写并报送评价报告阶段撰写绩效评价报告初稿，修改完善绩效评价报告并最终报送报告。</w:t>
      </w:r>
    </w:p>
    <w:p>
      <w:pPr>
        <w:ind w:firstLine="643" w:firstLineChars="200"/>
        <w:jc w:val="left"/>
        <w:rPr>
          <w:rFonts w:ascii="仿宋_GB2312" w:eastAsia="仿宋_GB2312" w:hAnsiTheme="minorEastAsia"/>
          <w:b/>
          <w:bCs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三、综合评价分析情况及评价结论</w:t>
      </w:r>
    </w:p>
    <w:p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32"/>
          <w:szCs w:val="32"/>
        </w:rPr>
        <w:t>通过项目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 w:hAnsiTheme="minorEastAsia"/>
          <w:sz w:val="32"/>
          <w:szCs w:val="32"/>
        </w:rPr>
        <w:t>实施，高效高质量地完成了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办案业务费支出</w:t>
      </w:r>
      <w:r>
        <w:rPr>
          <w:rFonts w:hint="eastAsia" w:ascii="仿宋_GB2312" w:eastAsia="仿宋_GB2312" w:hAnsiTheme="minorEastAsia"/>
          <w:sz w:val="32"/>
          <w:szCs w:val="32"/>
        </w:rPr>
        <w:t>工作，于2020年12月底完成项目，该项目总体评价分数为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99</w:t>
      </w:r>
      <w:r>
        <w:rPr>
          <w:rFonts w:hint="eastAsia" w:ascii="仿宋_GB2312" w:eastAsia="仿宋_GB2312" w:hAnsiTheme="minorEastAsia"/>
          <w:sz w:val="32"/>
          <w:szCs w:val="32"/>
        </w:rPr>
        <w:t>分，评价等级为“优”。</w:t>
      </w:r>
    </w:p>
    <w:p>
      <w:pPr>
        <w:jc w:val="center"/>
        <w:rPr>
          <w:rFonts w:ascii="仿宋_GB2312" w:eastAsia="仿宋_GB2312" w:hAnsiTheme="minorEastAsia"/>
          <w:b/>
          <w:szCs w:val="21"/>
        </w:rPr>
      </w:pPr>
      <w:r>
        <w:rPr>
          <w:rFonts w:hint="eastAsia" w:ascii="仿宋_GB2312" w:eastAsia="仿宋_GB2312" w:hAnsiTheme="minorEastAsia"/>
          <w:b/>
          <w:szCs w:val="21"/>
          <w:lang w:eastAsia="zh-CN"/>
        </w:rPr>
        <w:t>办案业务费</w:t>
      </w:r>
      <w:r>
        <w:rPr>
          <w:rFonts w:hint="eastAsia" w:ascii="仿宋_GB2312" w:eastAsia="仿宋_GB2312" w:hAnsiTheme="minorEastAsia"/>
          <w:b/>
          <w:szCs w:val="21"/>
        </w:rPr>
        <w:t>项目综合绩效评价得分表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评价指标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分值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评价得分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得分率（%）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执行情况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产出指标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效益指标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满意度指标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综合绩效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98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%</w:t>
            </w:r>
          </w:p>
        </w:tc>
      </w:tr>
    </w:tbl>
    <w:p>
      <w:pPr>
        <w:jc w:val="center"/>
        <w:rPr>
          <w:rFonts w:ascii="仿宋_GB2312" w:eastAsia="仿宋_GB2312" w:hAnsiTheme="minorEastAsia"/>
          <w:b/>
          <w:szCs w:val="21"/>
        </w:rPr>
      </w:pPr>
    </w:p>
    <w:p>
      <w:pPr>
        <w:ind w:firstLine="643" w:firstLineChars="200"/>
        <w:jc w:val="left"/>
        <w:rPr>
          <w:rFonts w:ascii="仿宋_GB2312" w:eastAsia="仿宋_GB2312" w:hAnsiTheme="minorEastAsia"/>
          <w:b/>
          <w:bCs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四、绩效评价指标分析</w:t>
      </w:r>
    </w:p>
    <w:p>
      <w:pPr>
        <w:ind w:firstLine="640" w:firstLineChars="20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（一）项目执行情况</w:t>
      </w:r>
    </w:p>
    <w:p>
      <w:pPr>
        <w:ind w:firstLine="640" w:firstLineChars="20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该项目分值10分，得分10分。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办案业务费</w:t>
      </w:r>
      <w:r>
        <w:rPr>
          <w:rFonts w:hint="eastAsia" w:ascii="仿宋_GB2312" w:eastAsia="仿宋_GB2312" w:hAnsiTheme="minorEastAsia"/>
          <w:sz w:val="32"/>
          <w:szCs w:val="32"/>
        </w:rPr>
        <w:t>项目总预算为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273</w:t>
      </w:r>
      <w:r>
        <w:rPr>
          <w:rFonts w:hint="eastAsia" w:ascii="仿宋_GB2312" w:eastAsia="仿宋_GB2312" w:hAnsiTheme="minorEastAsia"/>
          <w:sz w:val="32"/>
          <w:szCs w:val="32"/>
        </w:rPr>
        <w:t>万元，截至2020年12月底，执行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273</w:t>
      </w:r>
      <w:r>
        <w:rPr>
          <w:rFonts w:hint="eastAsia" w:ascii="仿宋_GB2312" w:eastAsia="仿宋_GB2312" w:hAnsiTheme="minorEastAsia"/>
          <w:sz w:val="32"/>
          <w:szCs w:val="32"/>
        </w:rPr>
        <w:t>万元，预算执行率100%，项目执行率较高，效果较好。</w:t>
      </w:r>
    </w:p>
    <w:p>
      <w:pPr>
        <w:ind w:firstLine="640" w:firstLineChars="20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（二）项目产出情况</w:t>
      </w:r>
    </w:p>
    <w:p>
      <w:pPr>
        <w:jc w:val="left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32"/>
          <w:szCs w:val="32"/>
        </w:rPr>
        <w:t xml:space="preserve"> 该项目分值50分，得分50分。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办案业务费</w:t>
      </w:r>
      <w:r>
        <w:rPr>
          <w:rFonts w:hint="eastAsia" w:ascii="仿宋_GB2312" w:eastAsia="仿宋_GB2312" w:hAnsiTheme="minorEastAsia"/>
          <w:sz w:val="32"/>
          <w:szCs w:val="32"/>
        </w:rPr>
        <w:t>项目产出指标主要包含：数量指标、质量指标、时效指标、成本指标，分别对4项二级指标进行细化，按照实际办公办案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经费</w:t>
      </w:r>
      <w:r>
        <w:rPr>
          <w:rFonts w:hint="eastAsia" w:ascii="仿宋_GB2312" w:eastAsia="仿宋_GB2312" w:hAnsiTheme="minorEastAsia"/>
          <w:sz w:val="32"/>
          <w:szCs w:val="32"/>
        </w:rPr>
        <w:t>需求进行评价，实际完成指标值较高，产出指标完成较好。</w:t>
      </w:r>
    </w:p>
    <w:p>
      <w:pPr>
        <w:ind w:firstLine="640" w:firstLineChars="20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（三）项目效益情况</w:t>
      </w:r>
    </w:p>
    <w:p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32"/>
          <w:szCs w:val="32"/>
        </w:rPr>
        <w:t>该项目分值30分，得分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 w:hAnsiTheme="minorEastAsia"/>
          <w:sz w:val="32"/>
          <w:szCs w:val="32"/>
        </w:rPr>
        <w:t>分。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办案业务费</w:t>
      </w:r>
      <w:r>
        <w:rPr>
          <w:rFonts w:hint="eastAsia" w:ascii="仿宋_GB2312" w:eastAsia="仿宋_GB2312" w:hAnsiTheme="minorEastAsia"/>
          <w:sz w:val="32"/>
          <w:szCs w:val="32"/>
        </w:rPr>
        <w:t>项目效益指标主要包含：经济效益指标、社会效益指标、生态效益指标、可持续影响指标，分别对4项二级科目进行细化，其中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可持续影响</w:t>
      </w:r>
      <w:r>
        <w:rPr>
          <w:rFonts w:hint="eastAsia" w:ascii="仿宋_GB2312" w:eastAsia="仿宋_GB2312" w:hAnsiTheme="minorEastAsia"/>
          <w:sz w:val="32"/>
          <w:szCs w:val="32"/>
        </w:rPr>
        <w:t>指标影响低于其他三项指标，其主要原因为：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办案业务费多为当年用当年支，可持续</w:t>
      </w:r>
      <w:r>
        <w:rPr>
          <w:rFonts w:hint="eastAsia" w:ascii="仿宋_GB2312" w:eastAsia="仿宋_GB2312" w:hAnsiTheme="minorEastAsia"/>
          <w:sz w:val="32"/>
          <w:szCs w:val="32"/>
        </w:rPr>
        <w:t>影响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实效不长</w:t>
      </w:r>
      <w:r>
        <w:rPr>
          <w:rFonts w:hint="eastAsia" w:ascii="仿宋_GB2312" w:eastAsia="仿宋_GB2312" w:hAnsiTheme="minorEastAsia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（四）项目满意度情况</w:t>
      </w:r>
    </w:p>
    <w:p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32"/>
          <w:szCs w:val="32"/>
        </w:rPr>
        <w:t xml:space="preserve"> 该项目分值10分，得分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hAnsiTheme="minorEastAsia"/>
          <w:sz w:val="32"/>
          <w:szCs w:val="32"/>
        </w:rPr>
        <w:t>分。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办案业务费</w:t>
      </w:r>
      <w:r>
        <w:rPr>
          <w:rFonts w:hint="eastAsia" w:ascii="仿宋_GB2312" w:eastAsia="仿宋_GB2312" w:hAnsiTheme="minorEastAsia"/>
          <w:sz w:val="32"/>
          <w:szCs w:val="32"/>
        </w:rPr>
        <w:t>满意度指标主要为干警满意度，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为</w:t>
      </w:r>
      <w:r>
        <w:rPr>
          <w:rFonts w:hint="eastAsia" w:ascii="仿宋_GB2312" w:eastAsia="仿宋_GB2312" w:hAnsiTheme="minorEastAsia"/>
          <w:sz w:val="32"/>
          <w:szCs w:val="32"/>
        </w:rPr>
        <w:t>提升干警办案质量与办案效率。</w:t>
      </w:r>
    </w:p>
    <w:p>
      <w:pPr>
        <w:ind w:firstLine="643" w:firstLineChars="200"/>
        <w:jc w:val="left"/>
        <w:rPr>
          <w:rFonts w:ascii="仿宋_GB2312" w:eastAsia="仿宋_GB2312" w:hAnsiTheme="minorEastAsia"/>
          <w:b/>
          <w:bCs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五、主要经验及做法，存在的问题及原因分析</w:t>
      </w:r>
    </w:p>
    <w:p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（一）部分项目单位绩效管理意识有待加强</w:t>
      </w:r>
    </w:p>
    <w:p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个别项目的绩效管理重视程度不够，未形成系统，成熟的项目绩效管理理念。</w:t>
      </w:r>
    </w:p>
    <w:p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（二）绩效目标和指标设置有待进一步优化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100" w:beforeAutospacing="1" w:after="100" w:afterAutospacing="1" w:line="580" w:lineRule="exact"/>
        <w:ind w:left="0" w:right="0" w:firstLine="6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部分项目绩效目标设置不够合理，绩效目标未全面覆盖主要项目任务，个别绩效指标未体现项目预期效益绩效指标设置不够明确、具体。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项目执行过程中按照实际需要进行了经济科目分类间的指标调剂，原因为各科目实际需求与年初预算存在差异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以后会周密考虑各项目执行中的实际需要，合理编制年初预算，减少指标调剂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。</w:t>
      </w:r>
    </w:p>
    <w:p>
      <w:pPr>
        <w:ind w:firstLine="643" w:firstLineChars="200"/>
        <w:jc w:val="left"/>
        <w:rPr>
          <w:rFonts w:ascii="仿宋_GB2312" w:eastAsia="仿宋_GB2312" w:hAnsiTheme="minorEastAsia"/>
          <w:b/>
          <w:bCs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六、有关建议</w:t>
      </w:r>
    </w:p>
    <w:p>
      <w:pPr>
        <w:ind w:firstLine="640"/>
        <w:jc w:val="left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（一）加强绩效管理培训，树牢预算绩效管理意识  </w:t>
      </w:r>
    </w:p>
    <w:p>
      <w:pPr>
        <w:ind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加强预算绩效管理培训，及时把握政策要求，明确项目实施的绩效导向，从而提高预算绩效管理的约束力，加快建立全过程预算绩效管理链条，强化绩效目标管理。</w:t>
      </w:r>
    </w:p>
    <w:p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32"/>
          <w:szCs w:val="32"/>
        </w:rPr>
        <w:t>（二）强化项目绩效目标管理，优化完善项目指标设置</w:t>
      </w:r>
    </w:p>
    <w:p>
      <w:pPr>
        <w:ind w:firstLine="640" w:firstLineChars="20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项目立项时，应加强内容梳理，明确工作重点，提炼核心绩效指标，注意指标表述应明确、具体、清晰，真正实现绩效管理与实际工作紧密结合、相互促进、相互监督、充分发挥项目实施效益，便于后期考核评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385"/>
    <w:rsid w:val="000251ED"/>
    <w:rsid w:val="001E1BD5"/>
    <w:rsid w:val="00221C79"/>
    <w:rsid w:val="0022630B"/>
    <w:rsid w:val="00262C6F"/>
    <w:rsid w:val="002A6D3D"/>
    <w:rsid w:val="0032557A"/>
    <w:rsid w:val="003523E5"/>
    <w:rsid w:val="0036650B"/>
    <w:rsid w:val="00376BD8"/>
    <w:rsid w:val="00420B6A"/>
    <w:rsid w:val="004664F3"/>
    <w:rsid w:val="004A6AB8"/>
    <w:rsid w:val="004E2783"/>
    <w:rsid w:val="005070E9"/>
    <w:rsid w:val="0053309B"/>
    <w:rsid w:val="00651649"/>
    <w:rsid w:val="006F54FF"/>
    <w:rsid w:val="0070727C"/>
    <w:rsid w:val="007F515D"/>
    <w:rsid w:val="008C3385"/>
    <w:rsid w:val="008D6AEE"/>
    <w:rsid w:val="00913331"/>
    <w:rsid w:val="009312B8"/>
    <w:rsid w:val="00977FC6"/>
    <w:rsid w:val="009C57C0"/>
    <w:rsid w:val="00A06002"/>
    <w:rsid w:val="00A83A69"/>
    <w:rsid w:val="00AD2B43"/>
    <w:rsid w:val="00C91C5C"/>
    <w:rsid w:val="00D3218F"/>
    <w:rsid w:val="00D72DF2"/>
    <w:rsid w:val="00E61628"/>
    <w:rsid w:val="00F64AA2"/>
    <w:rsid w:val="00F806C2"/>
    <w:rsid w:val="00F95B0F"/>
    <w:rsid w:val="00FD3DE0"/>
    <w:rsid w:val="020A76A0"/>
    <w:rsid w:val="34D81278"/>
    <w:rsid w:val="44C50F1C"/>
    <w:rsid w:val="548161F8"/>
    <w:rsid w:val="707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315</Words>
  <Characters>1798</Characters>
  <Lines>14</Lines>
  <Paragraphs>4</Paragraphs>
  <TotalTime>2</TotalTime>
  <ScaleCrop>false</ScaleCrop>
  <LinksUpToDate>false</LinksUpToDate>
  <CharactersWithSpaces>2109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2021-08-20T06:56:00Z</dcterms:created>
  <dc:creator>SD</dc:creator>
  <cp:lastModifiedBy>Administrator</cp:lastModifiedBy>
  <dcterms:modified xsi:type="dcterms:W3CDTF">2021-08-30T03:15:10Z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